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AET21007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Fisiologi Tumbuhan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Erwin Pane, MS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Erwin Pane, MS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