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AET21027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Budidaya Tanaman Hortikultura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Ir. Asmah Indrawaty, MP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Ir. Asmah Indrawaty, MP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